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F65936" w:rsidRDefault="009E0861" w:rsidP="001B280C">
      <w:pPr>
        <w:spacing w:after="0" w:line="360" w:lineRule="auto"/>
        <w:jc w:val="both"/>
        <w:rPr>
          <w:rFonts w:ascii="Palatino Linotype" w:hAnsi="Palatino Linotype" w:cs="Tahoma"/>
          <w:b/>
        </w:rPr>
      </w:pPr>
      <w:r w:rsidRPr="0086155F">
        <w:rPr>
          <w:rFonts w:ascii="Palatino Linotype" w:hAnsi="Palatino Linotype" w:cs="Tahoma"/>
          <w:b/>
        </w:rPr>
        <w:t xml:space="preserve">VOTO PARTICULAR QUE FORMULA EL COMISIONADO LUIS GUSTAVO PARRA NORIEGA, </w:t>
      </w:r>
      <w:r w:rsidR="00F65936">
        <w:rPr>
          <w:rFonts w:ascii="Palatino Linotype" w:hAnsi="Palatino Linotype" w:cs="Tahoma"/>
          <w:b/>
        </w:rPr>
        <w:t>A</w:t>
      </w:r>
      <w:r w:rsidRPr="0086155F">
        <w:rPr>
          <w:rFonts w:ascii="Palatino Linotype" w:hAnsi="Palatino Linotype" w:cs="Tahoma"/>
          <w:b/>
        </w:rPr>
        <w:t xml:space="preserve"> LA RESO</w:t>
      </w:r>
      <w:r w:rsidR="00D32C2C" w:rsidRPr="0086155F">
        <w:rPr>
          <w:rFonts w:ascii="Palatino Linotype" w:hAnsi="Palatino Linotype" w:cs="Tahoma"/>
          <w:b/>
        </w:rPr>
        <w:t>LUCIÓN DEL RECURSO DE REVISIÓN 0</w:t>
      </w:r>
      <w:r w:rsidR="004F0201">
        <w:rPr>
          <w:rFonts w:ascii="Palatino Linotype" w:hAnsi="Palatino Linotype" w:cs="Tahoma"/>
          <w:b/>
        </w:rPr>
        <w:t>45</w:t>
      </w:r>
      <w:r w:rsidR="002F09BD">
        <w:rPr>
          <w:rFonts w:ascii="Palatino Linotype" w:hAnsi="Palatino Linotype" w:cs="Tahoma"/>
          <w:b/>
        </w:rPr>
        <w:t>25</w:t>
      </w:r>
      <w:r w:rsidRPr="0086155F">
        <w:rPr>
          <w:rFonts w:ascii="Palatino Linotype" w:hAnsi="Palatino Linotype" w:cs="Tahoma"/>
          <w:b/>
        </w:rPr>
        <w:t xml:space="preserve">/INFOEM/IP/RR/2018, PROMOVIDO EN CONTRA </w:t>
      </w:r>
      <w:r w:rsidR="00FA5949">
        <w:rPr>
          <w:rFonts w:ascii="Palatino Linotype" w:hAnsi="Palatino Linotype" w:cs="Tahoma"/>
          <w:b/>
        </w:rPr>
        <w:t xml:space="preserve">DEL AYUNTAMIENTO DE </w:t>
      </w:r>
      <w:r w:rsidR="002F09BD">
        <w:rPr>
          <w:rFonts w:ascii="Palatino Linotype" w:hAnsi="Palatino Linotype" w:cs="Tahoma"/>
          <w:b/>
        </w:rPr>
        <w:t>TONATICO</w:t>
      </w:r>
      <w:r w:rsidR="004F5A66">
        <w:rPr>
          <w:rFonts w:ascii="Palatino Linotype" w:hAnsi="Palatino Linotype" w:cs="Tahoma"/>
          <w:b/>
        </w:rPr>
        <w:t>.</w:t>
      </w:r>
    </w:p>
    <w:p w:rsidR="00500949" w:rsidRPr="0086155F" w:rsidRDefault="00500949" w:rsidP="001B280C">
      <w:pPr>
        <w:spacing w:after="0" w:line="360" w:lineRule="auto"/>
        <w:jc w:val="both"/>
        <w:rPr>
          <w:rFonts w:ascii="Palatino Linotype" w:hAnsi="Palatino Linotype" w:cs="Tahoma"/>
        </w:rPr>
      </w:pPr>
    </w:p>
    <w:p w:rsidR="009E0861" w:rsidRPr="0086155F" w:rsidRDefault="009E0861" w:rsidP="001B280C">
      <w:pPr>
        <w:spacing w:after="0" w:line="360" w:lineRule="auto"/>
        <w:jc w:val="both"/>
        <w:rPr>
          <w:rFonts w:ascii="Palatino Linotype" w:hAnsi="Palatino Linotype" w:cs="Tahoma"/>
        </w:rPr>
      </w:pPr>
      <w:r w:rsidRPr="0086155F">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6155F">
        <w:rPr>
          <w:rFonts w:ascii="Palatino Linotype" w:hAnsi="Palatino Linotype" w:cs="Tahoma"/>
          <w:b/>
        </w:rPr>
        <w:t>Voto Particular</w:t>
      </w:r>
      <w:r w:rsidRPr="0086155F">
        <w:rPr>
          <w:rFonts w:ascii="Palatino Linotype" w:hAnsi="Palatino Linotype" w:cs="Tahoma"/>
        </w:rPr>
        <w:t xml:space="preserve"> por no compartir en su totalidad las consideraciones que sustentan la Resolución del Recurso de Revisión </w:t>
      </w:r>
      <w:r w:rsidR="00D50D8F" w:rsidRPr="0086155F">
        <w:rPr>
          <w:rFonts w:ascii="Palatino Linotype" w:hAnsi="Palatino Linotype" w:cs="Tahoma"/>
        </w:rPr>
        <w:t>0</w:t>
      </w:r>
      <w:r w:rsidR="002F09BD">
        <w:rPr>
          <w:rFonts w:ascii="Palatino Linotype" w:hAnsi="Palatino Linotype" w:cs="Tahoma"/>
        </w:rPr>
        <w:t>4525</w:t>
      </w:r>
      <w:r w:rsidR="00D50D8F" w:rsidRPr="0086155F">
        <w:rPr>
          <w:rFonts w:ascii="Palatino Linotype" w:hAnsi="Palatino Linotype" w:cs="Tahoma"/>
        </w:rPr>
        <w:t>/INFOEM/IP/RR/2018</w:t>
      </w:r>
      <w:r w:rsidRPr="0086155F">
        <w:rPr>
          <w:rFonts w:ascii="Palatino Linotype" w:hAnsi="Palatino Linotype" w:cs="Tahoma"/>
        </w:rPr>
        <w:t>.</w:t>
      </w:r>
    </w:p>
    <w:p w:rsidR="009E0861" w:rsidRPr="0086155F" w:rsidRDefault="009E0861" w:rsidP="001B280C">
      <w:pPr>
        <w:spacing w:after="0" w:line="360" w:lineRule="auto"/>
        <w:jc w:val="both"/>
        <w:rPr>
          <w:rFonts w:ascii="Palatino Linotype" w:hAnsi="Palatino Linotype" w:cs="Tahoma"/>
        </w:rPr>
      </w:pPr>
    </w:p>
    <w:p w:rsidR="009845B4" w:rsidRDefault="00EA7E26" w:rsidP="001B280C">
      <w:pPr>
        <w:spacing w:after="0" w:line="360" w:lineRule="auto"/>
        <w:jc w:val="both"/>
        <w:rPr>
          <w:rFonts w:ascii="Palatino Linotype" w:hAnsi="Palatino Linotype" w:cs="Tahoma"/>
        </w:rPr>
      </w:pPr>
      <w:r w:rsidRPr="0086155F">
        <w:rPr>
          <w:rFonts w:ascii="Palatino Linotype" w:hAnsi="Palatino Linotype" w:cs="Tahoma"/>
        </w:rPr>
        <w:t>C</w:t>
      </w:r>
      <w:r w:rsidR="009E0861" w:rsidRPr="0086155F">
        <w:rPr>
          <w:rFonts w:ascii="Palatino Linotype" w:hAnsi="Palatino Linotype" w:cs="Tahoma"/>
        </w:rPr>
        <w:t xml:space="preserve">omo se desprende de la </w:t>
      </w:r>
      <w:r w:rsidR="00342667">
        <w:rPr>
          <w:rFonts w:ascii="Palatino Linotype" w:hAnsi="Palatino Linotype" w:cs="Tahoma"/>
        </w:rPr>
        <w:t>R</w:t>
      </w:r>
      <w:r w:rsidR="009E0861" w:rsidRPr="0086155F">
        <w:rPr>
          <w:rFonts w:ascii="Palatino Linotype" w:hAnsi="Palatino Linotype" w:cs="Tahoma"/>
        </w:rPr>
        <w:t xml:space="preserve">esolución </w:t>
      </w:r>
      <w:r w:rsidRPr="0086155F">
        <w:rPr>
          <w:rFonts w:ascii="Palatino Linotype" w:hAnsi="Palatino Linotype" w:cs="Tahoma"/>
        </w:rPr>
        <w:t>que nos ocupa</w:t>
      </w:r>
      <w:r w:rsidR="00383BD7">
        <w:rPr>
          <w:rFonts w:ascii="Palatino Linotype" w:hAnsi="Palatino Linotype" w:cs="Tahoma"/>
        </w:rPr>
        <w:t xml:space="preserve">, </w:t>
      </w:r>
      <w:r w:rsidR="002F09BD">
        <w:rPr>
          <w:rFonts w:ascii="Palatino Linotype" w:hAnsi="Palatino Linotype" w:cs="Tahoma"/>
        </w:rPr>
        <w:t>el S</w:t>
      </w:r>
      <w:r w:rsidR="009E0861" w:rsidRPr="0086155F">
        <w:rPr>
          <w:rFonts w:ascii="Palatino Linotype" w:hAnsi="Palatino Linotype" w:cs="Tahoma"/>
        </w:rPr>
        <w:t>olicitante, requirió</w:t>
      </w:r>
      <w:r w:rsidR="009845B4">
        <w:rPr>
          <w:rFonts w:ascii="Palatino Linotype" w:hAnsi="Palatino Linotype" w:cs="Tahoma"/>
        </w:rPr>
        <w:t xml:space="preserve"> </w:t>
      </w:r>
      <w:r w:rsidR="002F09BD">
        <w:rPr>
          <w:rFonts w:ascii="Palatino Linotype" w:hAnsi="Palatino Linotype" w:cs="Tahoma"/>
        </w:rPr>
        <w:t>del Comité de la Unidad de Transparencia, los nombres y funciones de lo siguiente: a) Sujeto Obligado; b) Titular de la Unidad de Transparencia; c) Suplente del Titular de la Unidad de Transparencia; d) Responsable del Área Coordinadora del Archivo o Equivalente, y e) Suplente del Responsable del Área Coordinadora del Archivo o equivalente.</w:t>
      </w:r>
    </w:p>
    <w:p w:rsidR="009C656A" w:rsidRDefault="009C656A" w:rsidP="001B280C">
      <w:pPr>
        <w:spacing w:after="0" w:line="360" w:lineRule="auto"/>
        <w:jc w:val="both"/>
        <w:rPr>
          <w:rFonts w:ascii="Palatino Linotype" w:hAnsi="Palatino Linotype" w:cs="Tahoma"/>
        </w:rPr>
      </w:pPr>
    </w:p>
    <w:p w:rsidR="00AD6A42" w:rsidRDefault="004F5A66" w:rsidP="001B280C">
      <w:pPr>
        <w:spacing w:after="0" w:line="360" w:lineRule="auto"/>
        <w:jc w:val="both"/>
        <w:rPr>
          <w:rFonts w:ascii="Palatino Linotype" w:hAnsi="Palatino Linotype" w:cs="Tahoma"/>
        </w:rPr>
      </w:pPr>
      <w:r>
        <w:rPr>
          <w:rFonts w:ascii="Palatino Linotype" w:hAnsi="Palatino Linotype" w:cs="Tahoma"/>
        </w:rPr>
        <w:t>El</w:t>
      </w:r>
      <w:r w:rsidR="008C6B51">
        <w:rPr>
          <w:rFonts w:ascii="Palatino Linotype" w:hAnsi="Palatino Linotype" w:cs="Tahoma"/>
        </w:rPr>
        <w:t xml:space="preserve"> Sujeto Obligado</w:t>
      </w:r>
      <w:r w:rsidR="00B06423">
        <w:rPr>
          <w:rFonts w:ascii="Palatino Linotype" w:hAnsi="Palatino Linotype" w:cs="Tahoma"/>
        </w:rPr>
        <w:t xml:space="preserve"> </w:t>
      </w:r>
      <w:r w:rsidR="003569B1">
        <w:rPr>
          <w:rFonts w:ascii="Palatino Linotype" w:hAnsi="Palatino Linotype" w:cs="Tahoma"/>
        </w:rPr>
        <w:t xml:space="preserve">en respuesta, proporcionó el nombre y las funciones de Ayuntamiento de Tonatico, de su Titular de la Unidad de Transparencia y del Responsable del Área Coordinadora del Archivo o equivalente; además, precisó que no tenía ningún suplente; </w:t>
      </w:r>
      <w:r w:rsidR="003569B1" w:rsidRPr="00C32CF4">
        <w:rPr>
          <w:rFonts w:ascii="Palatino Linotype" w:hAnsi="Palatino Linotype" w:cs="Tahoma"/>
          <w:b/>
        </w:rPr>
        <w:t>por lo que se pronunció por cada uno de los puntos solicitados</w:t>
      </w:r>
      <w:r w:rsidR="003569B1">
        <w:rPr>
          <w:rFonts w:ascii="Palatino Linotype" w:hAnsi="Palatino Linotype" w:cs="Tahoma"/>
        </w:rPr>
        <w:t xml:space="preserve">. Ante dicha contestación, el </w:t>
      </w:r>
      <w:r w:rsidR="003569B1">
        <w:rPr>
          <w:rFonts w:ascii="Palatino Linotype" w:hAnsi="Palatino Linotype" w:cs="Tahoma"/>
        </w:rPr>
        <w:lastRenderedPageBreak/>
        <w:t xml:space="preserve">Solicitante se inconformó </w:t>
      </w:r>
      <w:r w:rsidR="00F65936">
        <w:rPr>
          <w:rFonts w:ascii="Palatino Linotype" w:hAnsi="Palatino Linotype" w:cs="Tahoma"/>
        </w:rPr>
        <w:t xml:space="preserve">y </w:t>
      </w:r>
      <w:r w:rsidR="003569B1">
        <w:rPr>
          <w:rFonts w:ascii="Palatino Linotype" w:hAnsi="Palatino Linotype" w:cs="Tahoma"/>
        </w:rPr>
        <w:t>señal</w:t>
      </w:r>
      <w:r w:rsidR="00F65936">
        <w:rPr>
          <w:rFonts w:ascii="Palatino Linotype" w:hAnsi="Palatino Linotype" w:cs="Tahoma"/>
        </w:rPr>
        <w:t>ó</w:t>
      </w:r>
      <w:r w:rsidR="003569B1">
        <w:rPr>
          <w:rFonts w:ascii="Palatino Linotype" w:hAnsi="Palatino Linotype" w:cs="Tahoma"/>
        </w:rPr>
        <w:t xml:space="preserve"> como agravio, que había solicitado lo</w:t>
      </w:r>
      <w:r w:rsidR="00C32CF4">
        <w:rPr>
          <w:rFonts w:ascii="Palatino Linotype" w:hAnsi="Palatino Linotype" w:cs="Tahoma"/>
        </w:rPr>
        <w:t>s nombres de los suplentes y todos los miembros que conforman al</w:t>
      </w:r>
      <w:r w:rsidR="003569B1">
        <w:rPr>
          <w:rFonts w:ascii="Palatino Linotype" w:hAnsi="Palatino Linotype" w:cs="Tahoma"/>
        </w:rPr>
        <w:t xml:space="preserve"> Comité de Transparencia, conforme a lo que establece la Ley de Transparencia y Acceso a la Información Pública del Estado de México y Municipios. </w:t>
      </w:r>
    </w:p>
    <w:p w:rsidR="003569B1" w:rsidRDefault="003569B1" w:rsidP="001B280C">
      <w:pPr>
        <w:spacing w:after="0" w:line="360" w:lineRule="auto"/>
        <w:jc w:val="both"/>
        <w:rPr>
          <w:rFonts w:ascii="Palatino Linotype" w:hAnsi="Palatino Linotype" w:cs="Tahoma"/>
        </w:rPr>
      </w:pPr>
    </w:p>
    <w:p w:rsidR="00A26C27" w:rsidRDefault="00AD6A42" w:rsidP="00C32CF4">
      <w:pPr>
        <w:spacing w:after="0" w:line="360" w:lineRule="auto"/>
        <w:jc w:val="both"/>
        <w:rPr>
          <w:rFonts w:ascii="Palatino Linotype" w:hAnsi="Palatino Linotype" w:cs="Tahoma"/>
        </w:rPr>
      </w:pPr>
      <w:r>
        <w:rPr>
          <w:rFonts w:ascii="Palatino Linotype" w:hAnsi="Palatino Linotype" w:cs="Tahoma"/>
        </w:rPr>
        <w:t xml:space="preserve">Ante ello, </w:t>
      </w:r>
      <w:r w:rsidR="00E360D8">
        <w:rPr>
          <w:rFonts w:ascii="Palatino Linotype" w:hAnsi="Palatino Linotype" w:cs="Tahoma"/>
        </w:rPr>
        <w:t xml:space="preserve">en la </w:t>
      </w:r>
      <w:r w:rsidR="004C1315">
        <w:rPr>
          <w:rFonts w:ascii="Palatino Linotype" w:hAnsi="Palatino Linotype" w:cs="Tahoma"/>
        </w:rPr>
        <w:t>R</w:t>
      </w:r>
      <w:r w:rsidR="00E360D8">
        <w:rPr>
          <w:rFonts w:ascii="Palatino Linotype" w:hAnsi="Palatino Linotype" w:cs="Tahoma"/>
        </w:rPr>
        <w:t>esolución que nos ocupa</w:t>
      </w:r>
      <w:r w:rsidR="00342667">
        <w:rPr>
          <w:rFonts w:ascii="Palatino Linotype" w:hAnsi="Palatino Linotype" w:cs="Tahoma"/>
        </w:rPr>
        <w:t xml:space="preserve"> </w:t>
      </w:r>
      <w:r w:rsidR="00C32CF4">
        <w:rPr>
          <w:rFonts w:ascii="Palatino Linotype" w:hAnsi="Palatino Linotype" w:cs="Tahoma"/>
        </w:rPr>
        <w:t xml:space="preserve">la Comisionada Ponente, interpretó la solicitud de acceso a la información y precisó que la pretensión del ahora Recurrente era conocer los nombres </w:t>
      </w:r>
      <w:r w:rsidR="00F65936">
        <w:rPr>
          <w:rFonts w:ascii="Palatino Linotype" w:hAnsi="Palatino Linotype" w:cs="Tahoma"/>
        </w:rPr>
        <w:t xml:space="preserve">y </w:t>
      </w:r>
      <w:r w:rsidR="00C32CF4">
        <w:rPr>
          <w:rFonts w:ascii="Palatino Linotype" w:hAnsi="Palatino Linotype" w:cs="Tahoma"/>
        </w:rPr>
        <w:t xml:space="preserve">funciones de todos los miembros que conforman al Comité de Transparencia, por lo que </w:t>
      </w:r>
      <w:r w:rsidR="00342667">
        <w:rPr>
          <w:rFonts w:ascii="Palatino Linotype" w:hAnsi="Palatino Linotype" w:cs="Tahoma"/>
        </w:rPr>
        <w:t xml:space="preserve">ordenó al Sujeto Obligado </w:t>
      </w:r>
      <w:r w:rsidR="00A26C27">
        <w:rPr>
          <w:rFonts w:ascii="Palatino Linotype" w:hAnsi="Palatino Linotype" w:cs="Tahoma"/>
        </w:rPr>
        <w:t>la entrega</w:t>
      </w:r>
      <w:r w:rsidR="00E360D8">
        <w:rPr>
          <w:rFonts w:ascii="Palatino Linotype" w:hAnsi="Palatino Linotype" w:cs="Tahoma"/>
        </w:rPr>
        <w:t xml:space="preserve"> </w:t>
      </w:r>
      <w:r w:rsidR="00C32CF4">
        <w:rPr>
          <w:rFonts w:ascii="Palatino Linotype" w:hAnsi="Palatino Linotype" w:cs="Tahoma"/>
        </w:rPr>
        <w:t>de los nombres y funciones de los miembros que no se precisaron en respuesta</w:t>
      </w:r>
      <w:r w:rsidR="00F65936">
        <w:rPr>
          <w:rFonts w:ascii="Palatino Linotype" w:hAnsi="Palatino Linotype" w:cs="Tahoma"/>
        </w:rPr>
        <w:t>;</w:t>
      </w:r>
      <w:r w:rsidR="00C32CF4">
        <w:rPr>
          <w:rFonts w:ascii="Palatino Linotype" w:hAnsi="Palatino Linotype" w:cs="Tahoma"/>
        </w:rPr>
        <w:t xml:space="preserve"> esto es</w:t>
      </w:r>
      <w:r w:rsidR="00F65936">
        <w:rPr>
          <w:rFonts w:ascii="Palatino Linotype" w:hAnsi="Palatino Linotype" w:cs="Tahoma"/>
        </w:rPr>
        <w:t>,</w:t>
      </w:r>
      <w:r w:rsidR="00C32CF4">
        <w:rPr>
          <w:rFonts w:ascii="Palatino Linotype" w:hAnsi="Palatino Linotype" w:cs="Tahoma"/>
        </w:rPr>
        <w:t xml:space="preserve"> los faltantes, correspondientes al Titular del Órgano Interno de Control o equivalente y del servidor público Encargado de la Protección de los Datos Personales</w:t>
      </w:r>
      <w:r w:rsidR="00A26C27" w:rsidRPr="00A26C27">
        <w:rPr>
          <w:rFonts w:ascii="Palatino Linotype" w:hAnsi="Palatino Linotype" w:cs="Tahoma"/>
        </w:rPr>
        <w:t>.</w:t>
      </w:r>
    </w:p>
    <w:p w:rsidR="00A26C27" w:rsidRDefault="00A26C27" w:rsidP="001B280C">
      <w:pPr>
        <w:spacing w:after="0" w:line="360" w:lineRule="auto"/>
        <w:jc w:val="both"/>
        <w:rPr>
          <w:rFonts w:ascii="Palatino Linotype" w:hAnsi="Palatino Linotype" w:cs="Tahoma"/>
        </w:rPr>
      </w:pPr>
    </w:p>
    <w:p w:rsidR="00E93689" w:rsidRDefault="003C53C5" w:rsidP="001B280C">
      <w:pPr>
        <w:spacing w:after="0" w:line="360" w:lineRule="auto"/>
        <w:jc w:val="both"/>
        <w:rPr>
          <w:rFonts w:ascii="Palatino Linotype" w:hAnsi="Palatino Linotype" w:cs="Tahoma"/>
        </w:rPr>
      </w:pPr>
      <w:r>
        <w:rPr>
          <w:rFonts w:ascii="Palatino Linotype" w:hAnsi="Palatino Linotype" w:cs="Tahoma"/>
        </w:rPr>
        <w:t>Al respecto</w:t>
      </w:r>
      <w:r w:rsidR="00BB33E4">
        <w:rPr>
          <w:rFonts w:ascii="Palatino Linotype" w:hAnsi="Palatino Linotype" w:cs="Tahoma"/>
        </w:rPr>
        <w:t xml:space="preserve">, </w:t>
      </w:r>
      <w:r w:rsidR="00E93689">
        <w:rPr>
          <w:rFonts w:ascii="Palatino Linotype" w:hAnsi="Palatino Linotype" w:cs="Tahoma"/>
        </w:rPr>
        <w:t>s</w:t>
      </w:r>
      <w:r w:rsidR="000048DE">
        <w:rPr>
          <w:rFonts w:ascii="Palatino Linotype" w:hAnsi="Palatino Linotype" w:cs="Tahoma"/>
        </w:rPr>
        <w:t>i bien se reconoce el análisis</w:t>
      </w:r>
      <w:r w:rsidR="00E93689">
        <w:rPr>
          <w:rFonts w:ascii="Palatino Linotype" w:hAnsi="Palatino Linotype" w:cs="Tahoma"/>
        </w:rPr>
        <w:t xml:space="preserve"> </w:t>
      </w:r>
      <w:r w:rsidR="00813C28">
        <w:rPr>
          <w:rFonts w:ascii="Palatino Linotype" w:hAnsi="Palatino Linotype" w:cs="Tahoma"/>
        </w:rPr>
        <w:t>realizado</w:t>
      </w:r>
      <w:r w:rsidR="00C32CF4">
        <w:rPr>
          <w:rFonts w:ascii="Palatino Linotype" w:hAnsi="Palatino Linotype" w:cs="Tahoma"/>
        </w:rPr>
        <w:t xml:space="preserve"> y la interpretación del requerimiento informativo</w:t>
      </w:r>
      <w:r w:rsidR="00342667">
        <w:rPr>
          <w:rFonts w:ascii="Palatino Linotype" w:hAnsi="Palatino Linotype" w:cs="Tahoma"/>
        </w:rPr>
        <w:t xml:space="preserve">,  </w:t>
      </w:r>
      <w:r w:rsidR="00E93689">
        <w:rPr>
          <w:rFonts w:ascii="Palatino Linotype" w:hAnsi="Palatino Linotype" w:cs="Tahoma"/>
        </w:rPr>
        <w:t xml:space="preserve">no se comparte </w:t>
      </w:r>
      <w:r w:rsidR="002615EE">
        <w:rPr>
          <w:rFonts w:ascii="Palatino Linotype" w:hAnsi="Palatino Linotype" w:cs="Tahoma"/>
        </w:rPr>
        <w:t xml:space="preserve">la decisión tomada </w:t>
      </w:r>
      <w:r w:rsidR="00342667">
        <w:rPr>
          <w:rFonts w:ascii="Palatino Linotype" w:hAnsi="Palatino Linotype" w:cs="Tahoma"/>
        </w:rPr>
        <w:t xml:space="preserve">por la Ponencia Resolutora, </w:t>
      </w:r>
      <w:r w:rsidR="00C32CF4">
        <w:rPr>
          <w:rFonts w:ascii="Palatino Linotype" w:hAnsi="Palatino Linotype" w:cs="Tahoma"/>
        </w:rPr>
        <w:t>concerniente a ordenar la entrega de información que no fue requerida inicialmente</w:t>
      </w:r>
      <w:r w:rsidR="002615EE">
        <w:rPr>
          <w:rFonts w:ascii="Palatino Linotype" w:hAnsi="Palatino Linotype" w:cs="Tahoma"/>
        </w:rPr>
        <w:t>; ello</w:t>
      </w:r>
      <w:r w:rsidR="001B7BBD">
        <w:rPr>
          <w:rFonts w:ascii="Palatino Linotype" w:hAnsi="Palatino Linotype" w:cs="Tahoma"/>
        </w:rPr>
        <w:t>,</w:t>
      </w:r>
      <w:r w:rsidR="002615EE">
        <w:rPr>
          <w:rFonts w:ascii="Palatino Linotype" w:hAnsi="Palatino Linotype" w:cs="Tahoma"/>
        </w:rPr>
        <w:t xml:space="preserve"> en virtud de lo siguiente:</w:t>
      </w:r>
    </w:p>
    <w:p w:rsidR="00072DE4" w:rsidRDefault="00072DE4" w:rsidP="001B280C">
      <w:pPr>
        <w:spacing w:after="0" w:line="360" w:lineRule="auto"/>
        <w:jc w:val="both"/>
        <w:rPr>
          <w:rFonts w:ascii="Palatino Linotype" w:hAnsi="Palatino Linotype" w:cs="Tahoma"/>
        </w:rPr>
      </w:pPr>
    </w:p>
    <w:p w:rsidR="00072DE4" w:rsidRDefault="00C32CF4" w:rsidP="001B280C">
      <w:pPr>
        <w:spacing w:after="0" w:line="360" w:lineRule="auto"/>
        <w:jc w:val="both"/>
        <w:rPr>
          <w:rFonts w:ascii="Palatino Linotype" w:hAnsi="Palatino Linotype" w:cs="Tahoma"/>
        </w:rPr>
      </w:pPr>
      <w:r>
        <w:rPr>
          <w:rFonts w:ascii="Palatino Linotype" w:hAnsi="Palatino Linotype" w:cs="Tahoma"/>
        </w:rPr>
        <w:t>El</w:t>
      </w:r>
      <w:r w:rsidR="00072DE4">
        <w:rPr>
          <w:rFonts w:ascii="Palatino Linotype" w:hAnsi="Palatino Linotype" w:cs="Tahoma"/>
        </w:rPr>
        <w:t xml:space="preserve"> Particular solicitó únicamente conocer </w:t>
      </w:r>
      <w:r>
        <w:rPr>
          <w:rFonts w:ascii="Palatino Linotype" w:hAnsi="Palatino Linotype" w:cs="Tahoma"/>
        </w:rPr>
        <w:t xml:space="preserve">el nombre y funciones </w:t>
      </w:r>
      <w:r w:rsidR="00513C83">
        <w:rPr>
          <w:rFonts w:ascii="Palatino Linotype" w:hAnsi="Palatino Linotype" w:cs="Tahoma"/>
        </w:rPr>
        <w:t xml:space="preserve">del </w:t>
      </w:r>
      <w:r w:rsidR="00F65936">
        <w:rPr>
          <w:rFonts w:ascii="Palatino Linotype" w:hAnsi="Palatino Linotype" w:cs="Tahoma"/>
        </w:rPr>
        <w:t>S</w:t>
      </w:r>
      <w:r w:rsidR="00513C83">
        <w:rPr>
          <w:rFonts w:ascii="Palatino Linotype" w:hAnsi="Palatino Linotype" w:cs="Tahoma"/>
        </w:rPr>
        <w:t>ujeto Obligado, del Titular de la Unidad de Transparencia, del Responsable del Área Coordinadora del Archivo o Equivalente y los respectivos suplentes de los dos últimos</w:t>
      </w:r>
      <w:r w:rsidR="00072DE4">
        <w:rPr>
          <w:rFonts w:ascii="Palatino Linotype" w:hAnsi="Palatino Linotype" w:cs="Tahoma"/>
        </w:rPr>
        <w:t xml:space="preserve">; sin embargo, </w:t>
      </w:r>
      <w:r w:rsidR="00342667">
        <w:rPr>
          <w:rFonts w:ascii="Palatino Linotype" w:hAnsi="Palatino Linotype" w:cs="Tahoma"/>
        </w:rPr>
        <w:t xml:space="preserve">ante </w:t>
      </w:r>
      <w:r w:rsidR="00513C83">
        <w:rPr>
          <w:rFonts w:ascii="Palatino Linotype" w:hAnsi="Palatino Linotype" w:cs="Tahoma"/>
        </w:rPr>
        <w:t>la respuesta de cada uno de los puntos requeridos</w:t>
      </w:r>
      <w:r w:rsidR="00342667">
        <w:rPr>
          <w:rFonts w:ascii="Palatino Linotype" w:hAnsi="Palatino Linotype" w:cs="Tahoma"/>
        </w:rPr>
        <w:t xml:space="preserve">, </w:t>
      </w:r>
      <w:r w:rsidR="00072DE4">
        <w:rPr>
          <w:rFonts w:ascii="Palatino Linotype" w:hAnsi="Palatino Linotype" w:cs="Tahoma"/>
        </w:rPr>
        <w:t>a través de la presentación de</w:t>
      </w:r>
      <w:r w:rsidR="00342667">
        <w:rPr>
          <w:rFonts w:ascii="Palatino Linotype" w:hAnsi="Palatino Linotype" w:cs="Tahoma"/>
        </w:rPr>
        <w:t>l</w:t>
      </w:r>
      <w:r w:rsidR="00072DE4">
        <w:rPr>
          <w:rFonts w:ascii="Palatino Linotype" w:hAnsi="Palatino Linotype" w:cs="Tahoma"/>
        </w:rPr>
        <w:t xml:space="preserve"> Recurso de Revisión</w:t>
      </w:r>
      <w:r w:rsidR="00342667">
        <w:rPr>
          <w:rFonts w:ascii="Palatino Linotype" w:hAnsi="Palatino Linotype" w:cs="Tahoma"/>
        </w:rPr>
        <w:t xml:space="preserve">, </w:t>
      </w:r>
      <w:r w:rsidR="004F0201">
        <w:rPr>
          <w:rFonts w:ascii="Palatino Linotype" w:hAnsi="Palatino Linotype" w:cs="Tahoma"/>
        </w:rPr>
        <w:t>solicitó</w:t>
      </w:r>
      <w:r w:rsidR="00342667">
        <w:rPr>
          <w:rFonts w:ascii="Palatino Linotype" w:hAnsi="Palatino Linotype" w:cs="Tahoma"/>
        </w:rPr>
        <w:t xml:space="preserve"> de manera adicional </w:t>
      </w:r>
      <w:r w:rsidR="00513C83">
        <w:rPr>
          <w:rFonts w:ascii="Palatino Linotype" w:hAnsi="Palatino Linotype" w:cs="Tahoma"/>
        </w:rPr>
        <w:t>los nombres y funciones de los miembros faltantes del Comité de Transparencia</w:t>
      </w:r>
      <w:r w:rsidR="0090729A">
        <w:rPr>
          <w:rFonts w:ascii="Palatino Linotype" w:hAnsi="Palatino Linotype" w:cs="Tahoma"/>
        </w:rPr>
        <w:t xml:space="preserve">, lo cual </w:t>
      </w:r>
      <w:r w:rsidR="00342667">
        <w:rPr>
          <w:rFonts w:ascii="Palatino Linotype" w:hAnsi="Palatino Linotype" w:cs="Tahoma"/>
        </w:rPr>
        <w:t xml:space="preserve">debe </w:t>
      </w:r>
      <w:r w:rsidR="0090729A">
        <w:rPr>
          <w:rFonts w:ascii="Palatino Linotype" w:hAnsi="Palatino Linotype" w:cs="Tahoma"/>
        </w:rPr>
        <w:t>consider</w:t>
      </w:r>
      <w:r w:rsidR="00342667">
        <w:rPr>
          <w:rFonts w:ascii="Palatino Linotype" w:hAnsi="Palatino Linotype" w:cs="Tahoma"/>
        </w:rPr>
        <w:t>arse</w:t>
      </w:r>
      <w:r w:rsidR="0090729A">
        <w:rPr>
          <w:rFonts w:ascii="Palatino Linotype" w:hAnsi="Palatino Linotype" w:cs="Tahoma"/>
        </w:rPr>
        <w:t xml:space="preserve"> invariablemente que se trata de una ampliación a </w:t>
      </w:r>
      <w:r w:rsidR="00342667">
        <w:rPr>
          <w:rFonts w:ascii="Palatino Linotype" w:hAnsi="Palatino Linotype" w:cs="Tahoma"/>
        </w:rPr>
        <w:t xml:space="preserve">la </w:t>
      </w:r>
      <w:r w:rsidR="0090729A">
        <w:rPr>
          <w:rFonts w:ascii="Palatino Linotype" w:hAnsi="Palatino Linotype" w:cs="Tahoma"/>
        </w:rPr>
        <w:t xml:space="preserve">solicitud de acceso a la información </w:t>
      </w:r>
      <w:r w:rsidR="00342667">
        <w:rPr>
          <w:rFonts w:ascii="Palatino Linotype" w:hAnsi="Palatino Linotype" w:cs="Tahoma"/>
        </w:rPr>
        <w:t>pública inicial</w:t>
      </w:r>
      <w:r w:rsidR="0090729A">
        <w:rPr>
          <w:rFonts w:ascii="Palatino Linotype" w:hAnsi="Palatino Linotype" w:cs="Tahoma"/>
        </w:rPr>
        <w:t>, toda vez que</w:t>
      </w:r>
      <w:r w:rsidR="00342667">
        <w:rPr>
          <w:rFonts w:ascii="Palatino Linotype" w:hAnsi="Palatino Linotype" w:cs="Tahoma"/>
        </w:rPr>
        <w:t>,</w:t>
      </w:r>
      <w:r w:rsidR="0090729A">
        <w:rPr>
          <w:rFonts w:ascii="Palatino Linotype" w:hAnsi="Palatino Linotype" w:cs="Tahoma"/>
        </w:rPr>
        <w:t xml:space="preserve"> tal como se aprecia, </w:t>
      </w:r>
      <w:r w:rsidR="0090729A">
        <w:rPr>
          <w:rFonts w:ascii="Palatino Linotype" w:hAnsi="Palatino Linotype" w:cs="Tahoma"/>
        </w:rPr>
        <w:lastRenderedPageBreak/>
        <w:t xml:space="preserve">pretende tener acceso a </w:t>
      </w:r>
      <w:r w:rsidR="00513C83">
        <w:rPr>
          <w:rFonts w:ascii="Palatino Linotype" w:hAnsi="Palatino Linotype" w:cs="Tahoma"/>
        </w:rPr>
        <w:t>información</w:t>
      </w:r>
      <w:r w:rsidR="0090729A">
        <w:rPr>
          <w:rFonts w:ascii="Palatino Linotype" w:hAnsi="Palatino Linotype" w:cs="Tahoma"/>
        </w:rPr>
        <w:t xml:space="preserve"> que no solicitó de origen</w:t>
      </w:r>
      <w:r w:rsidR="00513C83">
        <w:rPr>
          <w:rFonts w:ascii="Palatino Linotype" w:hAnsi="Palatino Linotype" w:cs="Tahoma"/>
        </w:rPr>
        <w:t>, pues en el requerimiento indicó claramente de que puestos necesitaba la información.</w:t>
      </w:r>
    </w:p>
    <w:p w:rsidR="007F1027" w:rsidRDefault="007F1027" w:rsidP="001B280C">
      <w:pPr>
        <w:tabs>
          <w:tab w:val="left" w:pos="4962"/>
        </w:tabs>
        <w:spacing w:after="0" w:line="360" w:lineRule="auto"/>
        <w:jc w:val="both"/>
        <w:rPr>
          <w:rFonts w:ascii="Palatino Linotype" w:eastAsia="Calibri" w:hAnsi="Palatino Linotype" w:cs="Tahoma"/>
          <w:iCs/>
          <w:lang w:eastAsia="es-ES_tradnl"/>
        </w:rPr>
      </w:pPr>
    </w:p>
    <w:p w:rsidR="007F1027" w:rsidRDefault="007F1027" w:rsidP="001B280C">
      <w:pPr>
        <w:tabs>
          <w:tab w:val="left" w:pos="4962"/>
        </w:tabs>
        <w:spacing w:after="0" w:line="360" w:lineRule="auto"/>
        <w:jc w:val="both"/>
        <w:rPr>
          <w:rFonts w:ascii="Palatino Linotype" w:eastAsia="Calibri" w:hAnsi="Palatino Linotype" w:cs="Tahoma"/>
          <w:color w:val="000000"/>
          <w:lang w:eastAsia="es-MX"/>
        </w:rPr>
      </w:pPr>
      <w:r>
        <w:rPr>
          <w:rFonts w:ascii="Palatino Linotype" w:eastAsia="Calibri" w:hAnsi="Palatino Linotype" w:cs="Tahoma"/>
          <w:iCs/>
          <w:lang w:eastAsia="es-ES_tradnl"/>
        </w:rPr>
        <w:t xml:space="preserve">Cabe hacer mención que al haber solicitado que le fuera </w:t>
      </w:r>
      <w:r w:rsidR="00513C83">
        <w:rPr>
          <w:rFonts w:ascii="Palatino Linotype" w:eastAsia="Calibri" w:hAnsi="Palatino Linotype" w:cs="Tahoma"/>
          <w:iCs/>
          <w:lang w:eastAsia="es-ES_tradnl"/>
        </w:rPr>
        <w:t>entregada</w:t>
      </w:r>
      <w:r>
        <w:rPr>
          <w:rFonts w:ascii="Palatino Linotype" w:eastAsia="Calibri" w:hAnsi="Palatino Linotype" w:cs="Tahoma"/>
          <w:i/>
          <w:iCs/>
          <w:lang w:eastAsia="es-ES_tradnl"/>
        </w:rPr>
        <w:t xml:space="preserve"> </w:t>
      </w:r>
      <w:r w:rsidR="00513C83">
        <w:rPr>
          <w:rFonts w:ascii="Palatino Linotype" w:eastAsia="Calibri" w:hAnsi="Palatino Linotype" w:cs="Tahoma"/>
          <w:iCs/>
          <w:lang w:eastAsia="es-ES_tradnl"/>
        </w:rPr>
        <w:t>información que no fue requerida</w:t>
      </w:r>
      <w:r>
        <w:rPr>
          <w:rFonts w:ascii="Palatino Linotype" w:eastAsia="Calibri" w:hAnsi="Palatino Linotype" w:cs="Tahoma"/>
          <w:iCs/>
          <w:lang w:eastAsia="es-ES_tradnl"/>
        </w:rPr>
        <w:t xml:space="preserve"> en su solicitud </w:t>
      </w:r>
      <w:r w:rsidR="00513C83">
        <w:rPr>
          <w:rFonts w:ascii="Palatino Linotype" w:eastAsia="Calibri" w:hAnsi="Palatino Linotype" w:cs="Tahoma"/>
          <w:iCs/>
          <w:lang w:eastAsia="es-ES_tradnl"/>
        </w:rPr>
        <w:t>primigenia</w:t>
      </w:r>
      <w:r>
        <w:rPr>
          <w:rFonts w:ascii="Palatino Linotype" w:eastAsia="Calibri" w:hAnsi="Palatino Linotype" w:cs="Tahoma"/>
          <w:iCs/>
          <w:lang w:eastAsia="es-ES_tradnl"/>
        </w:rPr>
        <w:t xml:space="preserve">, se configura lo que se conoce como </w:t>
      </w:r>
      <w:r>
        <w:rPr>
          <w:rFonts w:ascii="Palatino Linotype" w:eastAsia="Calibri" w:hAnsi="Palatino Linotype" w:cs="Tahoma"/>
          <w:i/>
          <w:iCs/>
          <w:lang w:eastAsia="es-ES_tradnl"/>
        </w:rPr>
        <w:t xml:space="preserve">plus petitio, </w:t>
      </w:r>
      <w:r>
        <w:rPr>
          <w:rFonts w:ascii="Palatino Linotype" w:eastAsia="Calibri" w:hAnsi="Palatino Linotype" w:cs="Tahoma"/>
          <w:iCs/>
          <w:lang w:eastAsia="es-ES_tradnl"/>
        </w:rPr>
        <w:t xml:space="preserve">que consiste en una ampliación a su requerimiento informativo, argumentos que no son susceptibles de ser valorados en términos de la fracción VII del Artículo 191 de la </w:t>
      </w:r>
      <w:r w:rsidRPr="005B3636">
        <w:rPr>
          <w:rFonts w:ascii="Palatino Linotype" w:eastAsia="Calibri" w:hAnsi="Palatino Linotype" w:cs="Tahoma"/>
          <w:color w:val="000000"/>
          <w:lang w:eastAsia="es-MX"/>
        </w:rPr>
        <w:t>Ley de Transparencia y Acceso a la Información Pública del Estado de México y Municipios</w:t>
      </w:r>
      <w:r>
        <w:rPr>
          <w:rFonts w:ascii="Palatino Linotype" w:eastAsia="Calibri" w:hAnsi="Palatino Linotype" w:cs="Tahoma"/>
          <w:color w:val="000000"/>
          <w:lang w:eastAsia="es-MX"/>
        </w:rPr>
        <w:t>, el cual determina lo siguiente:</w:t>
      </w:r>
    </w:p>
    <w:p w:rsidR="001B280C" w:rsidRDefault="001B280C" w:rsidP="001B280C">
      <w:pPr>
        <w:tabs>
          <w:tab w:val="left" w:pos="4962"/>
        </w:tabs>
        <w:spacing w:after="0" w:line="360" w:lineRule="auto"/>
        <w:jc w:val="both"/>
        <w:rPr>
          <w:rFonts w:ascii="Palatino Linotype" w:eastAsia="Calibri" w:hAnsi="Palatino Linotype" w:cs="Tahoma"/>
          <w:color w:val="000000"/>
          <w:lang w:eastAsia="es-MX"/>
        </w:rPr>
      </w:pPr>
    </w:p>
    <w:p w:rsidR="007F1027" w:rsidRPr="007F1027" w:rsidRDefault="00964832" w:rsidP="001B280C">
      <w:pPr>
        <w:tabs>
          <w:tab w:val="left" w:pos="4962"/>
        </w:tabs>
        <w:spacing w:after="0" w:line="360" w:lineRule="auto"/>
        <w:ind w:left="567" w:right="567"/>
        <w:jc w:val="both"/>
        <w:rPr>
          <w:rFonts w:ascii="Palatino Linotype" w:eastAsia="Calibri" w:hAnsi="Palatino Linotype" w:cs="Tahoma"/>
          <w:color w:val="000000"/>
          <w:sz w:val="20"/>
          <w:lang w:eastAsia="es-MX"/>
        </w:rPr>
      </w:pPr>
      <w:r>
        <w:rPr>
          <w:rFonts w:ascii="Palatino Linotype" w:eastAsia="Calibri" w:hAnsi="Palatino Linotype" w:cs="Tahoma"/>
          <w:b/>
          <w:color w:val="000000"/>
          <w:sz w:val="20"/>
          <w:lang w:eastAsia="es-MX"/>
        </w:rPr>
        <w:t>“</w:t>
      </w:r>
      <w:r w:rsidR="007F1027" w:rsidRPr="007F1027">
        <w:rPr>
          <w:rFonts w:ascii="Palatino Linotype" w:eastAsia="Calibri" w:hAnsi="Palatino Linotype" w:cs="Tahoma"/>
          <w:b/>
          <w:color w:val="000000"/>
          <w:sz w:val="20"/>
          <w:lang w:eastAsia="es-MX"/>
        </w:rPr>
        <w:t>Artículo 191.</w:t>
      </w:r>
      <w:r w:rsidR="007F1027" w:rsidRPr="007F1027">
        <w:rPr>
          <w:rFonts w:ascii="Palatino Linotype" w:eastAsia="Calibri" w:hAnsi="Palatino Linotype" w:cs="Tahoma"/>
          <w:color w:val="000000"/>
          <w:sz w:val="20"/>
          <w:lang w:eastAsia="es-MX"/>
        </w:rPr>
        <w:t xml:space="preserve"> El recurso será desechado por improcedente cuando:</w:t>
      </w:r>
    </w:p>
    <w:p w:rsidR="007F1027" w:rsidRPr="007F1027" w:rsidRDefault="00513C83" w:rsidP="001B280C">
      <w:pPr>
        <w:tabs>
          <w:tab w:val="left" w:pos="4962"/>
        </w:tabs>
        <w:spacing w:after="0" w:line="360" w:lineRule="auto"/>
        <w:ind w:left="567" w:right="567"/>
        <w:jc w:val="both"/>
        <w:rPr>
          <w:rFonts w:ascii="Palatino Linotype" w:eastAsia="Calibri" w:hAnsi="Palatino Linotype" w:cs="Tahoma"/>
          <w:color w:val="000000"/>
          <w:sz w:val="20"/>
          <w:lang w:eastAsia="es-MX"/>
        </w:rPr>
      </w:pPr>
      <w:r>
        <w:rPr>
          <w:rFonts w:ascii="Palatino Linotype" w:eastAsia="Calibri" w:hAnsi="Palatino Linotype" w:cs="Tahoma"/>
          <w:color w:val="000000"/>
          <w:sz w:val="20"/>
          <w:lang w:eastAsia="es-MX"/>
        </w:rPr>
        <w:t>…</w:t>
      </w:r>
    </w:p>
    <w:p w:rsidR="007F1027" w:rsidRPr="007F1027" w:rsidRDefault="007F1027" w:rsidP="001B280C">
      <w:pPr>
        <w:tabs>
          <w:tab w:val="left" w:pos="4962"/>
        </w:tabs>
        <w:spacing w:after="0" w:line="360" w:lineRule="auto"/>
        <w:ind w:left="567" w:right="567"/>
        <w:jc w:val="both"/>
        <w:rPr>
          <w:rFonts w:ascii="Palatino Linotype" w:eastAsia="Calibri" w:hAnsi="Palatino Linotype" w:cs="Tahoma"/>
          <w:color w:val="000000"/>
          <w:sz w:val="20"/>
          <w:lang w:eastAsia="es-MX"/>
        </w:rPr>
      </w:pPr>
      <w:r w:rsidRPr="007F1027">
        <w:rPr>
          <w:rFonts w:ascii="Palatino Linotype" w:eastAsia="Calibri" w:hAnsi="Palatino Linotype" w:cs="Tahoma"/>
          <w:color w:val="000000"/>
          <w:sz w:val="20"/>
          <w:lang w:eastAsia="es-MX"/>
        </w:rPr>
        <w:t xml:space="preserve">VII. </w:t>
      </w:r>
      <w:r w:rsidRPr="007F1027">
        <w:rPr>
          <w:rFonts w:ascii="Palatino Linotype" w:eastAsia="Calibri" w:hAnsi="Palatino Linotype" w:cs="Tahoma"/>
          <w:b/>
          <w:color w:val="000000"/>
          <w:sz w:val="20"/>
          <w:u w:val="single"/>
          <w:lang w:eastAsia="es-MX"/>
        </w:rPr>
        <w:t>El recurrente amplíe su solicitud en el recurso de revisión</w:t>
      </w:r>
      <w:r w:rsidRPr="007F1027">
        <w:rPr>
          <w:rFonts w:ascii="Palatino Linotype" w:eastAsia="Calibri" w:hAnsi="Palatino Linotype" w:cs="Tahoma"/>
          <w:color w:val="000000"/>
          <w:sz w:val="20"/>
          <w:lang w:eastAsia="es-MX"/>
        </w:rPr>
        <w:t>, únicamente respecto de los nuevos contenidos.</w:t>
      </w:r>
      <w:r w:rsidR="00964832">
        <w:rPr>
          <w:rFonts w:ascii="Palatino Linotype" w:eastAsia="Calibri" w:hAnsi="Palatino Linotype" w:cs="Tahoma"/>
          <w:color w:val="000000"/>
          <w:sz w:val="20"/>
          <w:lang w:eastAsia="es-MX"/>
        </w:rPr>
        <w:t>”</w:t>
      </w:r>
    </w:p>
    <w:p w:rsidR="007F1027" w:rsidRDefault="007F1027" w:rsidP="001B280C">
      <w:pPr>
        <w:tabs>
          <w:tab w:val="left" w:pos="4962"/>
        </w:tabs>
        <w:spacing w:after="0" w:line="360" w:lineRule="auto"/>
        <w:jc w:val="both"/>
        <w:rPr>
          <w:rFonts w:ascii="Palatino Linotype" w:eastAsia="Calibri" w:hAnsi="Palatino Linotype" w:cs="Tahoma"/>
          <w:color w:val="000000"/>
          <w:lang w:eastAsia="es-MX"/>
        </w:rPr>
      </w:pPr>
    </w:p>
    <w:p w:rsidR="007F1027" w:rsidRDefault="007F1027" w:rsidP="001B280C">
      <w:pPr>
        <w:tabs>
          <w:tab w:val="left" w:pos="4962"/>
        </w:tabs>
        <w:spacing w:after="0" w:line="360" w:lineRule="auto"/>
        <w:jc w:val="both"/>
        <w:rPr>
          <w:rFonts w:ascii="Palatino Linotype" w:eastAsia="Calibri" w:hAnsi="Palatino Linotype" w:cs="Tahoma"/>
          <w:color w:val="000000"/>
          <w:lang w:eastAsia="es-MX"/>
        </w:rPr>
      </w:pPr>
      <w:r>
        <w:rPr>
          <w:rFonts w:ascii="Palatino Linotype" w:eastAsia="Calibri" w:hAnsi="Palatino Linotype" w:cs="Tahoma"/>
          <w:color w:val="000000"/>
          <w:lang w:eastAsia="es-MX"/>
        </w:rPr>
        <w:t>En este sentido, por disposición legal serán improcedentes en el Recurso de Revisión, los nuevos contenidos que el Recurrente pretenda hacer valer a través del propio medio de impugnación, por consistir en una ampliación a su solicitud de acceso a la información primigenia.</w:t>
      </w:r>
      <w:r w:rsidR="00513C83">
        <w:rPr>
          <w:rFonts w:ascii="Palatino Linotype" w:eastAsia="Calibri" w:hAnsi="Palatino Linotype" w:cs="Tahoma"/>
          <w:color w:val="000000"/>
          <w:lang w:eastAsia="es-MX"/>
        </w:rPr>
        <w:t xml:space="preserve"> Lo anterior, toma sustento en el Criterio número 01/17, emitido por el Instituto Nacional de Transparencia, Acceso a la Información y Protección de Datos Personales, mismo que establece lo siguiente:</w:t>
      </w:r>
    </w:p>
    <w:p w:rsidR="00964832" w:rsidRDefault="00964832" w:rsidP="001B280C">
      <w:pPr>
        <w:tabs>
          <w:tab w:val="left" w:pos="4962"/>
        </w:tabs>
        <w:spacing w:after="0" w:line="360" w:lineRule="auto"/>
        <w:jc w:val="both"/>
        <w:rPr>
          <w:rFonts w:ascii="Palatino Linotype" w:eastAsia="Calibri" w:hAnsi="Palatino Linotype" w:cs="Tahoma"/>
          <w:color w:val="000000"/>
          <w:lang w:eastAsia="es-MX"/>
        </w:rPr>
      </w:pPr>
    </w:p>
    <w:p w:rsidR="00513C83" w:rsidRPr="00513C83" w:rsidRDefault="00513C83" w:rsidP="00513C83">
      <w:pPr>
        <w:tabs>
          <w:tab w:val="left" w:pos="4962"/>
        </w:tabs>
        <w:spacing w:after="0" w:line="360" w:lineRule="auto"/>
        <w:ind w:left="567" w:right="567"/>
        <w:jc w:val="both"/>
        <w:rPr>
          <w:rFonts w:ascii="Palatino Linotype" w:eastAsia="Calibri" w:hAnsi="Palatino Linotype" w:cs="Tahoma"/>
          <w:b/>
          <w:color w:val="000000"/>
          <w:sz w:val="20"/>
          <w:szCs w:val="20"/>
          <w:lang w:val="es-MX" w:eastAsia="es-MX"/>
        </w:rPr>
      </w:pPr>
      <w:r w:rsidRPr="00513C83">
        <w:rPr>
          <w:rFonts w:ascii="Palatino Linotype" w:eastAsia="Calibri" w:hAnsi="Palatino Linotype" w:cs="Tahoma"/>
          <w:b/>
          <w:color w:val="000000"/>
          <w:sz w:val="20"/>
          <w:szCs w:val="20"/>
          <w:lang w:val="es-MX" w:eastAsia="es-MX"/>
        </w:rPr>
        <w:t xml:space="preserve">“Es improcedente ampliar las solicitudes de acceso a información, a través de la interposición del recurso de revisión. </w:t>
      </w:r>
      <w:r w:rsidRPr="00513C83">
        <w:rPr>
          <w:rFonts w:ascii="Palatino Linotype" w:eastAsia="Calibri" w:hAnsi="Palatino Linotype" w:cs="Tahoma"/>
          <w:color w:val="000000"/>
          <w:sz w:val="20"/>
          <w:szCs w:val="20"/>
          <w:lang w:val="es-MX" w:eastAsia="es-MX"/>
        </w:rPr>
        <w:t xml:space="preserve">En términos de los artículos 155, fracción VII de la Ley General de Transparencia y Acceso a la Información Pública, y 161, fracción VII </w:t>
      </w:r>
      <w:r w:rsidRPr="00513C83">
        <w:rPr>
          <w:rFonts w:ascii="Palatino Linotype" w:eastAsia="Calibri" w:hAnsi="Palatino Linotype" w:cs="Tahoma"/>
          <w:color w:val="000000"/>
          <w:sz w:val="20"/>
          <w:szCs w:val="20"/>
          <w:lang w:val="es-MX" w:eastAsia="es-MX"/>
        </w:rPr>
        <w:lastRenderedPageBreak/>
        <w:t>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1B280C" w:rsidRDefault="001B280C" w:rsidP="001B280C">
      <w:pPr>
        <w:tabs>
          <w:tab w:val="left" w:pos="4962"/>
        </w:tabs>
        <w:spacing w:after="0" w:line="360" w:lineRule="auto"/>
        <w:jc w:val="both"/>
        <w:rPr>
          <w:rFonts w:ascii="Palatino Linotype" w:eastAsia="Calibri" w:hAnsi="Palatino Linotype" w:cs="Tahoma"/>
          <w:color w:val="000000"/>
          <w:lang w:eastAsia="es-MX"/>
        </w:rPr>
      </w:pPr>
    </w:p>
    <w:p w:rsidR="00964832" w:rsidRPr="001B280C" w:rsidRDefault="00383BD7" w:rsidP="00964832">
      <w:pPr>
        <w:spacing w:after="0" w:line="360" w:lineRule="auto"/>
        <w:jc w:val="both"/>
        <w:rPr>
          <w:rFonts w:ascii="Palatino Linotype" w:hAnsi="Palatino Linotype" w:cs="Tahoma"/>
          <w:bCs/>
          <w:lang w:val="es-ES_tradnl"/>
        </w:rPr>
      </w:pPr>
      <w:r>
        <w:rPr>
          <w:rFonts w:ascii="Palatino Linotype" w:hAnsi="Palatino Linotype" w:cs="Tahoma"/>
        </w:rPr>
        <w:t>Por lo anterior</w:t>
      </w:r>
      <w:r w:rsidR="001B280C">
        <w:rPr>
          <w:rFonts w:ascii="Palatino Linotype" w:hAnsi="Palatino Linotype" w:cs="Tahoma"/>
        </w:rPr>
        <w:t>, se debió omitir el análisis de la información adicionalmente solicitada y únicamente re</w:t>
      </w:r>
      <w:r w:rsidR="00964832">
        <w:rPr>
          <w:rFonts w:ascii="Palatino Linotype" w:hAnsi="Palatino Linotype" w:cs="Tahoma"/>
        </w:rPr>
        <w:t xml:space="preserve">solver el requerimiento inicial </w:t>
      </w:r>
      <w:r w:rsidR="00964832">
        <w:rPr>
          <w:rFonts w:ascii="Palatino Linotype" w:hAnsi="Palatino Linotype" w:cs="Tahoma"/>
          <w:bCs/>
          <w:lang w:val="es-MX"/>
        </w:rPr>
        <w:t>y, en su defecto, dejar a salvo sus derechos para presentar una nueva solicitud en la que requiriera la información de todo el Comité de Transparencia.</w:t>
      </w:r>
    </w:p>
    <w:p w:rsidR="00964832" w:rsidRDefault="00964832" w:rsidP="001B280C">
      <w:pPr>
        <w:spacing w:after="0" w:line="360" w:lineRule="auto"/>
        <w:jc w:val="both"/>
        <w:rPr>
          <w:rFonts w:ascii="Palatino Linotype" w:hAnsi="Palatino Linotype" w:cs="Tahoma"/>
        </w:rPr>
      </w:pPr>
    </w:p>
    <w:p w:rsidR="00964832" w:rsidRDefault="00964832" w:rsidP="001B280C">
      <w:pPr>
        <w:spacing w:after="0" w:line="360" w:lineRule="auto"/>
        <w:jc w:val="both"/>
        <w:rPr>
          <w:rFonts w:ascii="Palatino Linotype" w:hAnsi="Palatino Linotype" w:cs="Tahoma"/>
          <w:bCs/>
          <w:lang w:val="es-ES_tradnl"/>
        </w:rPr>
      </w:pPr>
      <w:r>
        <w:rPr>
          <w:rFonts w:ascii="Palatino Linotype" w:hAnsi="Palatino Linotype" w:cs="Tahoma"/>
        </w:rPr>
        <w:t xml:space="preserve">De tales circunstancias, </w:t>
      </w:r>
      <w:r>
        <w:rPr>
          <w:rFonts w:ascii="Palatino Linotype" w:hAnsi="Palatino Linotype" w:cs="Tahoma"/>
          <w:b/>
        </w:rPr>
        <w:t xml:space="preserve">se considera que se debió confirmar </w:t>
      </w:r>
      <w:r>
        <w:rPr>
          <w:rFonts w:ascii="Palatino Linotype" w:hAnsi="Palatino Linotype" w:cs="Tahoma"/>
        </w:rPr>
        <w:t>la respuesta del Municipio; lo anterior</w:t>
      </w:r>
      <w:r w:rsidR="001B280C" w:rsidRPr="001B280C">
        <w:rPr>
          <w:rFonts w:ascii="Palatino Linotype" w:hAnsi="Palatino Linotype" w:cs="Tahoma"/>
          <w:bCs/>
          <w:lang w:val="es-ES_tradnl"/>
        </w:rPr>
        <w:t xml:space="preserve">, tomando en consideración que </w:t>
      </w:r>
      <w:r>
        <w:rPr>
          <w:rFonts w:ascii="Palatino Linotype" w:hAnsi="Palatino Linotype" w:cs="Tahoma"/>
          <w:bCs/>
          <w:lang w:val="es-ES_tradnl"/>
        </w:rPr>
        <w:t>desde la contestación el Ayuntamiento de Tonatico, entregó el nombre y funciones de los cargos y entes solicitados; además, que señaló las razones por las cuales no tenía información de los suplentes, a saber, porque dichos cargos no tenían algún suplente.</w:t>
      </w:r>
    </w:p>
    <w:p w:rsidR="00964832" w:rsidRDefault="00964832" w:rsidP="001B280C">
      <w:pPr>
        <w:spacing w:after="0" w:line="360" w:lineRule="auto"/>
        <w:jc w:val="both"/>
        <w:rPr>
          <w:rFonts w:ascii="Palatino Linotype" w:hAnsi="Palatino Linotype" w:cs="Tahoma"/>
          <w:bCs/>
          <w:lang w:val="es-ES_tradnl"/>
        </w:rPr>
      </w:pPr>
    </w:p>
    <w:p w:rsidR="009E0861" w:rsidRPr="0086155F" w:rsidRDefault="009E0861" w:rsidP="001B280C">
      <w:pPr>
        <w:spacing w:after="0" w:line="360" w:lineRule="auto"/>
        <w:jc w:val="both"/>
        <w:rPr>
          <w:rFonts w:ascii="Palatino Linotype" w:hAnsi="Palatino Linotype" w:cs="Tahoma"/>
        </w:rPr>
      </w:pPr>
      <w:r w:rsidRPr="0086155F">
        <w:rPr>
          <w:rFonts w:ascii="Palatino Linotype" w:hAnsi="Palatino Linotype" w:cs="Tahoma"/>
        </w:rPr>
        <w:t xml:space="preserve">Así, con base en los razonamientos expuestos, </w:t>
      </w:r>
      <w:r w:rsidRPr="0086155F">
        <w:rPr>
          <w:rFonts w:ascii="Palatino Linotype" w:hAnsi="Palatino Linotype" w:cs="Tahoma"/>
          <w:b/>
        </w:rPr>
        <w:t>se emite el presente Voto Particular</w:t>
      </w:r>
      <w:r w:rsidRPr="0086155F">
        <w:rPr>
          <w:rFonts w:ascii="Palatino Linotype" w:hAnsi="Palatino Linotype" w:cs="Tahoma"/>
        </w:rPr>
        <w:t>.</w:t>
      </w:r>
    </w:p>
    <w:p w:rsidR="00964832" w:rsidRPr="0086155F" w:rsidRDefault="00964832" w:rsidP="001B280C">
      <w:pPr>
        <w:spacing w:after="0" w:line="360" w:lineRule="auto"/>
        <w:jc w:val="center"/>
        <w:rPr>
          <w:rFonts w:ascii="Palatino Linotype" w:hAnsi="Palatino Linotype" w:cs="Tahoma"/>
        </w:rPr>
      </w:pPr>
      <w:bookmarkStart w:id="0" w:name="_GoBack"/>
      <w:bookmarkEnd w:id="0"/>
    </w:p>
    <w:p w:rsidR="00553ADE" w:rsidRPr="0086155F" w:rsidRDefault="00553ADE" w:rsidP="001B280C">
      <w:pPr>
        <w:spacing w:after="0" w:line="360" w:lineRule="auto"/>
        <w:jc w:val="center"/>
        <w:rPr>
          <w:rFonts w:ascii="Palatino Linotype" w:hAnsi="Palatino Linotype" w:cs="Tahoma"/>
          <w:b/>
        </w:rPr>
      </w:pPr>
      <w:r w:rsidRPr="0086155F">
        <w:rPr>
          <w:rFonts w:ascii="Palatino Linotype" w:hAnsi="Palatino Linotype" w:cs="Tahoma"/>
          <w:b/>
        </w:rPr>
        <w:t>Luis Gustavo Parra Noriega</w:t>
      </w:r>
    </w:p>
    <w:p w:rsidR="003512C9" w:rsidRDefault="00553ADE" w:rsidP="001B280C">
      <w:pPr>
        <w:spacing w:after="0" w:line="360" w:lineRule="auto"/>
        <w:jc w:val="center"/>
        <w:rPr>
          <w:rFonts w:ascii="Palatino Linotype" w:hAnsi="Palatino Linotype" w:cs="Tahoma"/>
        </w:rPr>
      </w:pPr>
      <w:r w:rsidRPr="0086155F">
        <w:rPr>
          <w:rFonts w:ascii="Palatino Linotype" w:hAnsi="Palatino Linotype" w:cs="Tahoma"/>
        </w:rPr>
        <w:t>Comisionado</w:t>
      </w:r>
    </w:p>
    <w:p w:rsidR="00824B4F" w:rsidRPr="0086155F" w:rsidRDefault="00824B4F" w:rsidP="00824B4F">
      <w:pPr>
        <w:spacing w:after="0" w:line="360" w:lineRule="auto"/>
        <w:jc w:val="center"/>
        <w:rPr>
          <w:rFonts w:ascii="Palatino Linotype" w:hAnsi="Palatino Linotype" w:cs="Tahoma"/>
          <w:b/>
        </w:rPr>
      </w:pPr>
      <w:r w:rsidRPr="0086155F">
        <w:rPr>
          <w:rFonts w:ascii="Palatino Linotype" w:hAnsi="Palatino Linotype" w:cs="Tahoma"/>
          <w:b/>
        </w:rPr>
        <w:t>(Rúbrica)</w:t>
      </w:r>
    </w:p>
    <w:sectPr w:rsidR="00824B4F" w:rsidRPr="0086155F"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168" w:rsidRDefault="00365168" w:rsidP="00EE29F6">
      <w:pPr>
        <w:spacing w:after="0" w:line="240" w:lineRule="auto"/>
      </w:pPr>
      <w:r>
        <w:separator/>
      </w:r>
    </w:p>
  </w:endnote>
  <w:endnote w:type="continuationSeparator" w:id="0">
    <w:p w:rsidR="00365168" w:rsidRDefault="0036516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7F1027" w:rsidRDefault="007F1027">
            <w:pPr>
              <w:pStyle w:val="Piedepgina"/>
              <w:jc w:val="center"/>
            </w:pPr>
          </w:p>
          <w:p w:rsidR="007F1027" w:rsidRDefault="007F1027">
            <w:pPr>
              <w:pStyle w:val="Piedepgina"/>
              <w:jc w:val="center"/>
            </w:pPr>
          </w:p>
          <w:p w:rsidR="007F1027" w:rsidRDefault="007F1027">
            <w:pPr>
              <w:pStyle w:val="Piedepgina"/>
              <w:jc w:val="center"/>
            </w:pPr>
          </w:p>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F65936">
              <w:rPr>
                <w:b/>
                <w:bCs/>
                <w:noProof/>
              </w:rPr>
              <w:t>3</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F65936">
              <w:rPr>
                <w:b/>
                <w:bCs/>
                <w:noProof/>
              </w:rPr>
              <w:t>4</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168" w:rsidRDefault="00365168" w:rsidP="00EE29F6">
      <w:pPr>
        <w:spacing w:after="0" w:line="240" w:lineRule="auto"/>
      </w:pPr>
      <w:r>
        <w:separator/>
      </w:r>
    </w:p>
  </w:footnote>
  <w:footnote w:type="continuationSeparator" w:id="0">
    <w:p w:rsidR="00365168" w:rsidRDefault="00365168"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552"/>
      <w:gridCol w:w="3544"/>
    </w:tblGrid>
    <w:tr w:rsidR="006C2224" w:rsidRPr="001106EA" w:rsidTr="00964832">
      <w:trPr>
        <w:trHeight w:val="268"/>
      </w:trPr>
      <w:tc>
        <w:tcPr>
          <w:tcW w:w="2977" w:type="dxa"/>
          <w:vMerge w:val="restart"/>
          <w:vAlign w:val="bottom"/>
        </w:tcPr>
        <w:p w:rsidR="006C2224" w:rsidRDefault="006C2224" w:rsidP="00EF1351">
          <w:pPr>
            <w:pStyle w:val="Encabezado"/>
            <w:tabs>
              <w:tab w:val="clear" w:pos="4252"/>
              <w:tab w:val="center" w:pos="2614"/>
            </w:tabs>
            <w:ind w:left="-250"/>
          </w:pPr>
          <w:r>
            <w:rPr>
              <w:noProof/>
              <w:sz w:val="10"/>
              <w:szCs w:val="10"/>
              <w:lang w:val="es-MX" w:eastAsia="es-MX"/>
            </w:rPr>
            <w:drawing>
              <wp:inline distT="0" distB="0" distL="0" distR="0" wp14:anchorId="75A24F2F" wp14:editId="6EC4B834">
                <wp:extent cx="1781175" cy="1125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5863" cy="1128818"/>
                        </a:xfrm>
                        <a:prstGeom prst="rect">
                          <a:avLst/>
                        </a:prstGeom>
                      </pic:spPr>
                    </pic:pic>
                  </a:graphicData>
                </a:graphic>
              </wp:inline>
            </w:drawing>
          </w:r>
        </w:p>
        <w:p w:rsidR="006C2224" w:rsidRDefault="006C2224" w:rsidP="006C2224">
          <w:pPr>
            <w:pStyle w:val="Encabezado"/>
            <w:tabs>
              <w:tab w:val="clear" w:pos="4252"/>
              <w:tab w:val="center" w:pos="2614"/>
            </w:tabs>
          </w:pPr>
        </w:p>
      </w:tc>
      <w:tc>
        <w:tcPr>
          <w:tcW w:w="2552" w:type="dxa"/>
          <w:vAlign w:val="center"/>
        </w:tcPr>
        <w:p w:rsidR="006C2224" w:rsidRDefault="006C2224" w:rsidP="006C2224">
          <w:pPr>
            <w:pStyle w:val="Encabezado"/>
            <w:jc w:val="both"/>
            <w:rPr>
              <w:rFonts w:ascii="Palatino Linotype" w:hAnsi="Palatino Linotype" w:cs="Tahoma"/>
              <w:b/>
            </w:rPr>
          </w:pPr>
        </w:p>
        <w:p w:rsidR="00EF1351" w:rsidRDefault="00EF1351" w:rsidP="006C2224">
          <w:pPr>
            <w:pStyle w:val="Encabezado"/>
            <w:jc w:val="both"/>
            <w:rPr>
              <w:rFonts w:ascii="Palatino Linotype" w:hAnsi="Palatino Linotype" w:cs="Tahoma"/>
              <w:b/>
            </w:rPr>
          </w:pPr>
        </w:p>
        <w:p w:rsidR="006C2224" w:rsidRPr="006C2224" w:rsidRDefault="006C2224" w:rsidP="006C2224">
          <w:pPr>
            <w:pStyle w:val="Encabezado"/>
            <w:jc w:val="both"/>
            <w:rPr>
              <w:rFonts w:ascii="Palatino Linotype" w:hAnsi="Palatino Linotype" w:cs="Tahoma"/>
              <w:b/>
            </w:rPr>
          </w:pPr>
          <w:r w:rsidRPr="0086155F">
            <w:rPr>
              <w:rFonts w:ascii="Palatino Linotype" w:hAnsi="Palatino Linotype" w:cs="Tahoma"/>
              <w:b/>
            </w:rPr>
            <w:t>Voto Particular</w:t>
          </w:r>
        </w:p>
      </w:tc>
      <w:tc>
        <w:tcPr>
          <w:tcW w:w="3544" w:type="dxa"/>
        </w:tcPr>
        <w:p w:rsidR="006C2224" w:rsidRPr="001106EA" w:rsidRDefault="006C2224" w:rsidP="006C2224">
          <w:pPr>
            <w:pStyle w:val="Encabezado"/>
            <w:jc w:val="both"/>
            <w:rPr>
              <w:rFonts w:ascii="Tahoma" w:hAnsi="Tahoma" w:cs="Tahoma"/>
            </w:rPr>
          </w:pPr>
        </w:p>
      </w:tc>
    </w:tr>
    <w:tr w:rsidR="006C2224" w:rsidRPr="001106EA" w:rsidTr="00964832">
      <w:trPr>
        <w:trHeight w:val="248"/>
      </w:trPr>
      <w:tc>
        <w:tcPr>
          <w:tcW w:w="2977" w:type="dxa"/>
          <w:vMerge/>
          <w:vAlign w:val="bottom"/>
        </w:tcPr>
        <w:p w:rsidR="006C2224" w:rsidRDefault="006C2224" w:rsidP="006C2224">
          <w:pPr>
            <w:pStyle w:val="Encabezado"/>
            <w:tabs>
              <w:tab w:val="clear" w:pos="4252"/>
              <w:tab w:val="center" w:pos="2614"/>
            </w:tabs>
            <w:rPr>
              <w:noProof/>
              <w:sz w:val="10"/>
              <w:szCs w:val="10"/>
              <w:lang w:val="es-MX" w:eastAsia="es-MX"/>
            </w:rPr>
          </w:pPr>
        </w:p>
      </w:tc>
      <w:tc>
        <w:tcPr>
          <w:tcW w:w="2552" w:type="dxa"/>
          <w:vAlign w:val="center"/>
        </w:tcPr>
        <w:p w:rsidR="006C2224" w:rsidRPr="0086155F" w:rsidRDefault="006C2224" w:rsidP="006C2224">
          <w:pPr>
            <w:pStyle w:val="Encabezado"/>
            <w:jc w:val="both"/>
            <w:rPr>
              <w:rFonts w:ascii="Palatino Linotype" w:hAnsi="Palatino Linotype" w:cs="Tahoma"/>
              <w:b/>
            </w:rPr>
          </w:pPr>
          <w:r w:rsidRPr="0086155F">
            <w:rPr>
              <w:rFonts w:ascii="Palatino Linotype" w:hAnsi="Palatino Linotype" w:cs="Tahoma"/>
              <w:b/>
            </w:rPr>
            <w:t xml:space="preserve">Recurso de Revisión: </w:t>
          </w:r>
        </w:p>
      </w:tc>
      <w:tc>
        <w:tcPr>
          <w:tcW w:w="3544" w:type="dxa"/>
        </w:tcPr>
        <w:p w:rsidR="006C2224" w:rsidRDefault="006C2224" w:rsidP="002F09BD">
          <w:pPr>
            <w:pStyle w:val="Encabezado"/>
            <w:jc w:val="both"/>
            <w:rPr>
              <w:rFonts w:ascii="Palatino Linotype" w:hAnsi="Palatino Linotype" w:cs="Tahoma"/>
              <w:b/>
            </w:rPr>
          </w:pPr>
          <w:r w:rsidRPr="0086155F">
            <w:rPr>
              <w:rFonts w:ascii="Palatino Linotype" w:hAnsi="Palatino Linotype" w:cs="Tahoma"/>
              <w:b/>
            </w:rPr>
            <w:t>0</w:t>
          </w:r>
          <w:r w:rsidR="004F0201">
            <w:rPr>
              <w:rFonts w:ascii="Palatino Linotype" w:hAnsi="Palatino Linotype" w:cs="Tahoma"/>
              <w:b/>
            </w:rPr>
            <w:t>45</w:t>
          </w:r>
          <w:r w:rsidR="002F09BD">
            <w:rPr>
              <w:rFonts w:ascii="Palatino Linotype" w:hAnsi="Palatino Linotype" w:cs="Tahoma"/>
              <w:b/>
            </w:rPr>
            <w:t>25</w:t>
          </w:r>
          <w:r w:rsidRPr="0086155F">
            <w:rPr>
              <w:rFonts w:ascii="Palatino Linotype" w:hAnsi="Palatino Linotype" w:cs="Tahoma"/>
              <w:b/>
            </w:rPr>
            <w:t>/INFOEM/IP/RR/2018</w:t>
          </w:r>
        </w:p>
      </w:tc>
    </w:tr>
    <w:tr w:rsidR="006C2224" w:rsidRPr="001106EA" w:rsidTr="00964832">
      <w:trPr>
        <w:trHeight w:val="635"/>
      </w:trPr>
      <w:tc>
        <w:tcPr>
          <w:tcW w:w="2977" w:type="dxa"/>
          <w:vMerge/>
          <w:vAlign w:val="bottom"/>
        </w:tcPr>
        <w:p w:rsidR="006C2224" w:rsidRDefault="006C2224" w:rsidP="006C2224">
          <w:pPr>
            <w:pStyle w:val="Encabezado"/>
            <w:tabs>
              <w:tab w:val="clear" w:pos="4252"/>
              <w:tab w:val="center" w:pos="2614"/>
            </w:tabs>
            <w:rPr>
              <w:noProof/>
              <w:sz w:val="10"/>
              <w:szCs w:val="10"/>
              <w:lang w:val="es-MX" w:eastAsia="es-MX"/>
            </w:rPr>
          </w:pPr>
        </w:p>
      </w:tc>
      <w:tc>
        <w:tcPr>
          <w:tcW w:w="2552" w:type="dxa"/>
        </w:tcPr>
        <w:p w:rsidR="006C2224" w:rsidRPr="0086155F" w:rsidRDefault="006C2224" w:rsidP="006C2224">
          <w:pPr>
            <w:pStyle w:val="Encabezado"/>
            <w:jc w:val="both"/>
            <w:rPr>
              <w:rFonts w:ascii="Palatino Linotype" w:hAnsi="Palatino Linotype" w:cs="Tahoma"/>
              <w:b/>
            </w:rPr>
          </w:pPr>
          <w:r w:rsidRPr="0086155F">
            <w:rPr>
              <w:rFonts w:ascii="Palatino Linotype" w:hAnsi="Palatino Linotype" w:cs="Tahoma"/>
              <w:b/>
            </w:rPr>
            <w:t>Comisionado Ponente:</w:t>
          </w:r>
        </w:p>
      </w:tc>
      <w:tc>
        <w:tcPr>
          <w:tcW w:w="3544" w:type="dxa"/>
        </w:tcPr>
        <w:p w:rsidR="006C2224" w:rsidRDefault="002F09BD" w:rsidP="006C2224">
          <w:pPr>
            <w:pStyle w:val="Encabezado"/>
            <w:jc w:val="both"/>
            <w:rPr>
              <w:rFonts w:ascii="Palatino Linotype" w:hAnsi="Palatino Linotype" w:cs="Tahoma"/>
              <w:b/>
            </w:rPr>
          </w:pPr>
          <w:r>
            <w:rPr>
              <w:rFonts w:ascii="Palatino Linotype" w:hAnsi="Palatino Linotype"/>
              <w:b/>
            </w:rPr>
            <w:t>Zulema Martínez Sánchez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73C06CE4"/>
    <w:multiLevelType w:val="hybridMultilevel"/>
    <w:tmpl w:val="76A4CDA8"/>
    <w:lvl w:ilvl="0" w:tplc="26224392">
      <w:start w:val="1"/>
      <w:numFmt w:val="decimal"/>
      <w:lvlText w:val="%1."/>
      <w:lvlJc w:val="left"/>
      <w:pPr>
        <w:ind w:left="644" w:hanging="360"/>
      </w:pPr>
      <w:rPr>
        <w:rFonts w:ascii="Palatino Linotype" w:hAnsi="Palatino Linotype" w:hint="default"/>
        <w:b/>
        <w:i w:val="0"/>
        <w:color w:val="000000" w:themeColor="text1"/>
        <w:sz w:val="2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6"/>
  </w:num>
  <w:num w:numId="9">
    <w:abstractNumId w:val="10"/>
  </w:num>
  <w:num w:numId="10">
    <w:abstractNumId w:val="12"/>
  </w:num>
  <w:num w:numId="11">
    <w:abstractNumId w:val="13"/>
  </w:num>
  <w:num w:numId="12">
    <w:abstractNumId w:val="1"/>
  </w:num>
  <w:num w:numId="13">
    <w:abstractNumId w:val="6"/>
  </w:num>
  <w:num w:numId="14">
    <w:abstractNumId w:val="17"/>
  </w:num>
  <w:num w:numId="15">
    <w:abstractNumId w:val="14"/>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8DE"/>
    <w:rsid w:val="00006F73"/>
    <w:rsid w:val="00010AAD"/>
    <w:rsid w:val="00020D08"/>
    <w:rsid w:val="0002627D"/>
    <w:rsid w:val="00026846"/>
    <w:rsid w:val="0002759D"/>
    <w:rsid w:val="000301C6"/>
    <w:rsid w:val="00031240"/>
    <w:rsid w:val="0005256C"/>
    <w:rsid w:val="00060F74"/>
    <w:rsid w:val="0006561A"/>
    <w:rsid w:val="00072DE4"/>
    <w:rsid w:val="00087AC8"/>
    <w:rsid w:val="00097988"/>
    <w:rsid w:val="000A65BC"/>
    <w:rsid w:val="000B235B"/>
    <w:rsid w:val="000B7F6F"/>
    <w:rsid w:val="000C10B7"/>
    <w:rsid w:val="000C7319"/>
    <w:rsid w:val="000D186F"/>
    <w:rsid w:val="000F66FF"/>
    <w:rsid w:val="0010688C"/>
    <w:rsid w:val="001106EA"/>
    <w:rsid w:val="00110BC3"/>
    <w:rsid w:val="001159DC"/>
    <w:rsid w:val="00116C1F"/>
    <w:rsid w:val="00116E1A"/>
    <w:rsid w:val="001247C3"/>
    <w:rsid w:val="00136AD8"/>
    <w:rsid w:val="0014038B"/>
    <w:rsid w:val="00140A57"/>
    <w:rsid w:val="00146A7E"/>
    <w:rsid w:val="0014736A"/>
    <w:rsid w:val="0015569E"/>
    <w:rsid w:val="00162325"/>
    <w:rsid w:val="00164625"/>
    <w:rsid w:val="00164BFE"/>
    <w:rsid w:val="0018472D"/>
    <w:rsid w:val="00193AA8"/>
    <w:rsid w:val="00197A72"/>
    <w:rsid w:val="001A145C"/>
    <w:rsid w:val="001A6BD9"/>
    <w:rsid w:val="001B280C"/>
    <w:rsid w:val="001B7BBD"/>
    <w:rsid w:val="001C1C64"/>
    <w:rsid w:val="001D08FC"/>
    <w:rsid w:val="001F12F1"/>
    <w:rsid w:val="001F667B"/>
    <w:rsid w:val="002060AD"/>
    <w:rsid w:val="00216BC4"/>
    <w:rsid w:val="00223F64"/>
    <w:rsid w:val="00231B68"/>
    <w:rsid w:val="0023224C"/>
    <w:rsid w:val="00242C75"/>
    <w:rsid w:val="00243617"/>
    <w:rsid w:val="00243A13"/>
    <w:rsid w:val="00245ACA"/>
    <w:rsid w:val="00246FAF"/>
    <w:rsid w:val="002615EE"/>
    <w:rsid w:val="0028037C"/>
    <w:rsid w:val="00280A9C"/>
    <w:rsid w:val="002816CB"/>
    <w:rsid w:val="00281C68"/>
    <w:rsid w:val="00295BA5"/>
    <w:rsid w:val="002A138B"/>
    <w:rsid w:val="002A16CE"/>
    <w:rsid w:val="002A1727"/>
    <w:rsid w:val="002A2EE7"/>
    <w:rsid w:val="002C2405"/>
    <w:rsid w:val="002C5579"/>
    <w:rsid w:val="002D3BF0"/>
    <w:rsid w:val="002E0DD9"/>
    <w:rsid w:val="002E5A1A"/>
    <w:rsid w:val="002F09BD"/>
    <w:rsid w:val="002F4E95"/>
    <w:rsid w:val="0031752E"/>
    <w:rsid w:val="00322675"/>
    <w:rsid w:val="00333AC5"/>
    <w:rsid w:val="00333B7A"/>
    <w:rsid w:val="00342667"/>
    <w:rsid w:val="00344C41"/>
    <w:rsid w:val="003512C9"/>
    <w:rsid w:val="003569B1"/>
    <w:rsid w:val="0036006F"/>
    <w:rsid w:val="00365168"/>
    <w:rsid w:val="00383BD7"/>
    <w:rsid w:val="003A6218"/>
    <w:rsid w:val="003B6547"/>
    <w:rsid w:val="003B7A5E"/>
    <w:rsid w:val="003C15F3"/>
    <w:rsid w:val="003C53C5"/>
    <w:rsid w:val="003D05A7"/>
    <w:rsid w:val="003F2426"/>
    <w:rsid w:val="003F48C2"/>
    <w:rsid w:val="0040139C"/>
    <w:rsid w:val="00412CB2"/>
    <w:rsid w:val="004211BB"/>
    <w:rsid w:val="00433746"/>
    <w:rsid w:val="00434C88"/>
    <w:rsid w:val="00435E69"/>
    <w:rsid w:val="0043730D"/>
    <w:rsid w:val="00445BDF"/>
    <w:rsid w:val="00447F6F"/>
    <w:rsid w:val="0045183E"/>
    <w:rsid w:val="0047538D"/>
    <w:rsid w:val="00476D55"/>
    <w:rsid w:val="004770A0"/>
    <w:rsid w:val="00482081"/>
    <w:rsid w:val="00490F50"/>
    <w:rsid w:val="004A4555"/>
    <w:rsid w:val="004A555E"/>
    <w:rsid w:val="004B08C4"/>
    <w:rsid w:val="004B532B"/>
    <w:rsid w:val="004B541F"/>
    <w:rsid w:val="004C1315"/>
    <w:rsid w:val="004C4912"/>
    <w:rsid w:val="004C6E57"/>
    <w:rsid w:val="004E7007"/>
    <w:rsid w:val="004F0201"/>
    <w:rsid w:val="004F5A66"/>
    <w:rsid w:val="00500949"/>
    <w:rsid w:val="00513C83"/>
    <w:rsid w:val="00524DA5"/>
    <w:rsid w:val="00526DBD"/>
    <w:rsid w:val="00543DF4"/>
    <w:rsid w:val="00544812"/>
    <w:rsid w:val="00553ADE"/>
    <w:rsid w:val="00560A41"/>
    <w:rsid w:val="0056120D"/>
    <w:rsid w:val="00576423"/>
    <w:rsid w:val="00582CCB"/>
    <w:rsid w:val="00584D73"/>
    <w:rsid w:val="0059329D"/>
    <w:rsid w:val="0059399E"/>
    <w:rsid w:val="005A2510"/>
    <w:rsid w:val="005B6967"/>
    <w:rsid w:val="005C094E"/>
    <w:rsid w:val="005C73EE"/>
    <w:rsid w:val="005C76C2"/>
    <w:rsid w:val="005D11C8"/>
    <w:rsid w:val="005D26CE"/>
    <w:rsid w:val="005E2798"/>
    <w:rsid w:val="00600164"/>
    <w:rsid w:val="00605683"/>
    <w:rsid w:val="006248F2"/>
    <w:rsid w:val="00624DE5"/>
    <w:rsid w:val="00632309"/>
    <w:rsid w:val="00633807"/>
    <w:rsid w:val="00645087"/>
    <w:rsid w:val="00654ACD"/>
    <w:rsid w:val="00657396"/>
    <w:rsid w:val="00681338"/>
    <w:rsid w:val="00682003"/>
    <w:rsid w:val="00684B16"/>
    <w:rsid w:val="006C2224"/>
    <w:rsid w:val="006E6965"/>
    <w:rsid w:val="006F5316"/>
    <w:rsid w:val="006F754E"/>
    <w:rsid w:val="00700065"/>
    <w:rsid w:val="0071340D"/>
    <w:rsid w:val="0072297A"/>
    <w:rsid w:val="00724F08"/>
    <w:rsid w:val="00730CD7"/>
    <w:rsid w:val="007354F5"/>
    <w:rsid w:val="007378E2"/>
    <w:rsid w:val="00742A15"/>
    <w:rsid w:val="007468D5"/>
    <w:rsid w:val="00772986"/>
    <w:rsid w:val="0077694E"/>
    <w:rsid w:val="00786EA0"/>
    <w:rsid w:val="007954A5"/>
    <w:rsid w:val="00796A29"/>
    <w:rsid w:val="007A2D13"/>
    <w:rsid w:val="007B7ABD"/>
    <w:rsid w:val="007C05F3"/>
    <w:rsid w:val="007D3257"/>
    <w:rsid w:val="007D68AF"/>
    <w:rsid w:val="007D6F49"/>
    <w:rsid w:val="007F1027"/>
    <w:rsid w:val="007F1744"/>
    <w:rsid w:val="007F1C1D"/>
    <w:rsid w:val="007F7D80"/>
    <w:rsid w:val="008068A2"/>
    <w:rsid w:val="00813C28"/>
    <w:rsid w:val="00824B4F"/>
    <w:rsid w:val="0083166F"/>
    <w:rsid w:val="00836BC2"/>
    <w:rsid w:val="00847392"/>
    <w:rsid w:val="00856E29"/>
    <w:rsid w:val="0086155F"/>
    <w:rsid w:val="00861757"/>
    <w:rsid w:val="00886EDA"/>
    <w:rsid w:val="00891412"/>
    <w:rsid w:val="008A0447"/>
    <w:rsid w:val="008A1DE1"/>
    <w:rsid w:val="008A3DA9"/>
    <w:rsid w:val="008B08C9"/>
    <w:rsid w:val="008C6B51"/>
    <w:rsid w:val="008E54E2"/>
    <w:rsid w:val="008F3B5A"/>
    <w:rsid w:val="009039FE"/>
    <w:rsid w:val="0090729A"/>
    <w:rsid w:val="00916C78"/>
    <w:rsid w:val="00922B2E"/>
    <w:rsid w:val="00927BD1"/>
    <w:rsid w:val="0093480E"/>
    <w:rsid w:val="00950355"/>
    <w:rsid w:val="00952B06"/>
    <w:rsid w:val="00954BF1"/>
    <w:rsid w:val="00962B86"/>
    <w:rsid w:val="00964832"/>
    <w:rsid w:val="00974836"/>
    <w:rsid w:val="009845B4"/>
    <w:rsid w:val="009941B3"/>
    <w:rsid w:val="009943E1"/>
    <w:rsid w:val="00995450"/>
    <w:rsid w:val="009B22ED"/>
    <w:rsid w:val="009B2C0B"/>
    <w:rsid w:val="009C0313"/>
    <w:rsid w:val="009C656A"/>
    <w:rsid w:val="009D07E2"/>
    <w:rsid w:val="009D49BE"/>
    <w:rsid w:val="009E0861"/>
    <w:rsid w:val="009E41F7"/>
    <w:rsid w:val="009E704F"/>
    <w:rsid w:val="009F3890"/>
    <w:rsid w:val="009F6E4A"/>
    <w:rsid w:val="00A26C27"/>
    <w:rsid w:val="00A364BA"/>
    <w:rsid w:val="00A5061A"/>
    <w:rsid w:val="00A5658F"/>
    <w:rsid w:val="00A67498"/>
    <w:rsid w:val="00A742D1"/>
    <w:rsid w:val="00A760CC"/>
    <w:rsid w:val="00A87924"/>
    <w:rsid w:val="00A96933"/>
    <w:rsid w:val="00AA090B"/>
    <w:rsid w:val="00AB3E26"/>
    <w:rsid w:val="00AC333A"/>
    <w:rsid w:val="00AD25D5"/>
    <w:rsid w:val="00AD6A42"/>
    <w:rsid w:val="00AF3B6B"/>
    <w:rsid w:val="00B06423"/>
    <w:rsid w:val="00B068A1"/>
    <w:rsid w:val="00B263C5"/>
    <w:rsid w:val="00B63300"/>
    <w:rsid w:val="00B67355"/>
    <w:rsid w:val="00B7393F"/>
    <w:rsid w:val="00B761B1"/>
    <w:rsid w:val="00BB32B6"/>
    <w:rsid w:val="00BB33E4"/>
    <w:rsid w:val="00BB6EE3"/>
    <w:rsid w:val="00BC2E57"/>
    <w:rsid w:val="00BC4882"/>
    <w:rsid w:val="00BC55D2"/>
    <w:rsid w:val="00BD06FC"/>
    <w:rsid w:val="00BD2D9E"/>
    <w:rsid w:val="00BD4705"/>
    <w:rsid w:val="00BD5DBE"/>
    <w:rsid w:val="00BE34DF"/>
    <w:rsid w:val="00BF1384"/>
    <w:rsid w:val="00C0131C"/>
    <w:rsid w:val="00C239D2"/>
    <w:rsid w:val="00C30FD6"/>
    <w:rsid w:val="00C31FEE"/>
    <w:rsid w:val="00C32CF4"/>
    <w:rsid w:val="00C55FFC"/>
    <w:rsid w:val="00C75CE0"/>
    <w:rsid w:val="00CA0ABF"/>
    <w:rsid w:val="00CA7627"/>
    <w:rsid w:val="00CC2CDC"/>
    <w:rsid w:val="00CC68E1"/>
    <w:rsid w:val="00CD3839"/>
    <w:rsid w:val="00CD4339"/>
    <w:rsid w:val="00CD5803"/>
    <w:rsid w:val="00CE343C"/>
    <w:rsid w:val="00CE50F9"/>
    <w:rsid w:val="00CF11EE"/>
    <w:rsid w:val="00D014A9"/>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2C8B"/>
    <w:rsid w:val="00D75247"/>
    <w:rsid w:val="00D75FAE"/>
    <w:rsid w:val="00D77F63"/>
    <w:rsid w:val="00D9114A"/>
    <w:rsid w:val="00D96166"/>
    <w:rsid w:val="00DA11C0"/>
    <w:rsid w:val="00DC25DE"/>
    <w:rsid w:val="00DC4A9C"/>
    <w:rsid w:val="00DC5EF2"/>
    <w:rsid w:val="00DD0C23"/>
    <w:rsid w:val="00DF6CA0"/>
    <w:rsid w:val="00E145E1"/>
    <w:rsid w:val="00E23071"/>
    <w:rsid w:val="00E26123"/>
    <w:rsid w:val="00E34559"/>
    <w:rsid w:val="00E345D1"/>
    <w:rsid w:val="00E360D8"/>
    <w:rsid w:val="00E41481"/>
    <w:rsid w:val="00E416F8"/>
    <w:rsid w:val="00E45036"/>
    <w:rsid w:val="00E656C1"/>
    <w:rsid w:val="00E7538D"/>
    <w:rsid w:val="00E826AD"/>
    <w:rsid w:val="00E82F77"/>
    <w:rsid w:val="00E83683"/>
    <w:rsid w:val="00E93689"/>
    <w:rsid w:val="00EA7E26"/>
    <w:rsid w:val="00EB7128"/>
    <w:rsid w:val="00EC6DDF"/>
    <w:rsid w:val="00EE29F6"/>
    <w:rsid w:val="00EE79AE"/>
    <w:rsid w:val="00EF1351"/>
    <w:rsid w:val="00F011F6"/>
    <w:rsid w:val="00F14384"/>
    <w:rsid w:val="00F32B83"/>
    <w:rsid w:val="00F4155E"/>
    <w:rsid w:val="00F42641"/>
    <w:rsid w:val="00F644D2"/>
    <w:rsid w:val="00F65936"/>
    <w:rsid w:val="00F75832"/>
    <w:rsid w:val="00FA177C"/>
    <w:rsid w:val="00FA5949"/>
    <w:rsid w:val="00FB3044"/>
    <w:rsid w:val="00FB59D6"/>
    <w:rsid w:val="00FB5C13"/>
    <w:rsid w:val="00FC1D9D"/>
    <w:rsid w:val="00FC1F32"/>
    <w:rsid w:val="00FD1849"/>
    <w:rsid w:val="00FD3150"/>
    <w:rsid w:val="00FD4FD6"/>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574139">
      <w:bodyDiv w:val="1"/>
      <w:marLeft w:val="0"/>
      <w:marRight w:val="0"/>
      <w:marTop w:val="0"/>
      <w:marBottom w:val="0"/>
      <w:divBdr>
        <w:top w:val="none" w:sz="0" w:space="0" w:color="auto"/>
        <w:left w:val="none" w:sz="0" w:space="0" w:color="auto"/>
        <w:bottom w:val="none" w:sz="0" w:space="0" w:color="auto"/>
        <w:right w:val="none" w:sz="0" w:space="0" w:color="auto"/>
      </w:divBdr>
    </w:div>
    <w:div w:id="7779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F164-1597-436D-9745-29F5BD49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960</Words>
  <Characters>5282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2018-10-01T19:36:00Z</cp:lastPrinted>
  <dcterms:created xsi:type="dcterms:W3CDTF">2019-02-15T22:02:00Z</dcterms:created>
  <dcterms:modified xsi:type="dcterms:W3CDTF">2019-02-15T22:06:00Z</dcterms:modified>
</cp:coreProperties>
</file>